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77" w:rsidRPr="00D54777" w:rsidRDefault="00D54777" w:rsidP="00D54777">
      <w:pPr>
        <w:keepNext/>
        <w:pBdr>
          <w:bottom w:val="single" w:sz="6" w:space="1" w:color="auto"/>
        </w:pBd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внешней проверки отчёта об исполнении бюджета Кухаревского сельского поселения за 202</w:t>
      </w:r>
      <w:r w:rsidR="001C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54777" w:rsidRPr="00D54777" w:rsidRDefault="00D54777" w:rsidP="00D54777">
      <w:pPr>
        <w:keepNext/>
        <w:pBdr>
          <w:bottom w:val="single" w:sz="6" w:space="1" w:color="auto"/>
        </w:pBd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77" w:rsidRDefault="00D54777" w:rsidP="004F3ADA">
      <w:pPr>
        <w:spacing w:after="9" w:line="232" w:lineRule="auto"/>
        <w:ind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1A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0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C1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3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C42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F3ADA" w:rsidRPr="00ED4DE5" w:rsidRDefault="00C32CD1" w:rsidP="004F3ADA">
      <w:pPr>
        <w:spacing w:after="9" w:line="232" w:lineRule="auto"/>
        <w:ind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E5">
        <w:rPr>
          <w:rFonts w:ascii="Times New Roman" w:hAnsi="Times New Roman" w:cs="Times New Roman"/>
          <w:b/>
          <w:sz w:val="24"/>
          <w:szCs w:val="24"/>
        </w:rPr>
        <w:t>Основание для проведения внешней проверки</w:t>
      </w:r>
    </w:p>
    <w:p w:rsidR="004F3ADA" w:rsidRPr="00ED4DE5" w:rsidRDefault="004F3ADA" w:rsidP="004F3ADA">
      <w:pPr>
        <w:spacing w:after="9" w:line="232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264.4 Бюджетного кодекса РФ, ст.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Решения Совета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Кухаревского сельского поселения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Исилькульского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F0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7C1F0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C1F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7C1F0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«О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бюджетном процессе в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Кухаревском сельском поселении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Исилькульско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  <w:r w:rsidR="000966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F3ADA" w:rsidRPr="00FF6036" w:rsidRDefault="004F3ADA" w:rsidP="004F3ADA">
      <w:pPr>
        <w:spacing w:after="3" w:line="237" w:lineRule="auto"/>
        <w:ind w:right="1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проверки</w:t>
      </w:r>
      <w:r w:rsidR="002A1EE6"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F0D"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подтверждение достоверности годового отчета об исполнении бюджета </w:t>
      </w:r>
      <w:r w:rsidR="00ED4DE5"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отчетный финансовый год.</w:t>
      </w:r>
    </w:p>
    <w:p w:rsidR="00A93144" w:rsidRPr="00ED4DE5" w:rsidRDefault="004F3ADA" w:rsidP="004F3A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внешней проверки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годовой отчет об исполнении бюджета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 приложениями; пояснительная записка.</w:t>
      </w:r>
    </w:p>
    <w:p w:rsidR="00C67E85" w:rsidRDefault="00C67E85" w:rsidP="00C6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52D" w:rsidRDefault="007B652D" w:rsidP="00C67E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4DE5">
        <w:rPr>
          <w:rFonts w:ascii="Times New Roman" w:hAnsi="Times New Roman" w:cs="Times New Roman"/>
          <w:b/>
          <w:sz w:val="24"/>
          <w:szCs w:val="24"/>
        </w:rPr>
        <w:t xml:space="preserve">Внешняя проверка годового отчета об исполнении бюджета </w:t>
      </w:r>
      <w:r w:rsidR="00ED4DE5" w:rsidRPr="00ED4DE5">
        <w:rPr>
          <w:rFonts w:ascii="Times New Roman" w:hAnsi="Times New Roman" w:cs="Times New Roman"/>
          <w:b/>
          <w:sz w:val="24"/>
          <w:szCs w:val="24"/>
        </w:rPr>
        <w:t xml:space="preserve">Кухаревского сельского поселения </w:t>
      </w:r>
      <w:r w:rsidRPr="00ED4DE5">
        <w:rPr>
          <w:rFonts w:ascii="Times New Roman" w:hAnsi="Times New Roman" w:cs="Times New Roman"/>
          <w:b/>
          <w:sz w:val="24"/>
          <w:szCs w:val="24"/>
        </w:rPr>
        <w:t>Исилькульского муниципального района за 20</w:t>
      </w:r>
      <w:r w:rsidR="00D54777">
        <w:rPr>
          <w:rFonts w:ascii="Times New Roman" w:hAnsi="Times New Roman" w:cs="Times New Roman"/>
          <w:b/>
          <w:sz w:val="24"/>
          <w:szCs w:val="24"/>
        </w:rPr>
        <w:t>2</w:t>
      </w:r>
      <w:r w:rsidR="001C42F8">
        <w:rPr>
          <w:rFonts w:ascii="Times New Roman" w:hAnsi="Times New Roman" w:cs="Times New Roman"/>
          <w:b/>
          <w:sz w:val="24"/>
          <w:szCs w:val="24"/>
        </w:rPr>
        <w:t>3</w:t>
      </w:r>
      <w:r w:rsidRPr="00ED4D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4F0D" w:rsidRPr="00ED4DE5" w:rsidRDefault="007B652D" w:rsidP="007B652D">
      <w:pPr>
        <w:spacing w:after="10" w:line="224" w:lineRule="auto"/>
        <w:ind w:left="7" w:right="9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достоверности бюджетной отчетности проводилась на выборочной основе и включала в себя изучение и оценку:</w:t>
      </w:r>
    </w:p>
    <w:p w:rsidR="00144F0D" w:rsidRPr="00ED4DE5" w:rsidRDefault="007B652D" w:rsidP="007B652D">
      <w:pPr>
        <w:spacing w:after="10" w:line="224" w:lineRule="auto"/>
        <w:ind w:left="7" w:right="9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полноты годовой бюджетной отчетности и ее соответствие установленным формам;</w:t>
      </w:r>
    </w:p>
    <w:p w:rsidR="007B652D" w:rsidRPr="00ED4DE5" w:rsidRDefault="007B652D" w:rsidP="007B652D">
      <w:pPr>
        <w:spacing w:after="10" w:line="224" w:lineRule="auto"/>
        <w:ind w:left="7" w:right="9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бюджетной отчетности, в части соблюдения требований составления отчетности и контрольных соотношений между формами отчетности;</w:t>
      </w:r>
    </w:p>
    <w:p w:rsidR="007B652D" w:rsidRPr="00ED4DE5" w:rsidRDefault="00ED4DE5" w:rsidP="00ED4DE5">
      <w:pPr>
        <w:spacing w:after="23" w:line="222" w:lineRule="auto"/>
        <w:ind w:left="25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соответствия отдельных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отчетности ГРБС с показателями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652D" w:rsidRPr="00ED4DE5" w:rsidRDefault="00ED4DE5" w:rsidP="00ED4DE5">
      <w:pPr>
        <w:spacing w:after="0" w:line="230" w:lineRule="auto"/>
        <w:ind w:left="25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достоверности данных, отраженных в представленной к проверке отчетности, путем пересчета отдельных данных исходя из суммирования согласованных показателей;</w:t>
      </w:r>
    </w:p>
    <w:p w:rsidR="0016078E" w:rsidRPr="00ED4DE5" w:rsidRDefault="00ED4DE5" w:rsidP="00ED4DE5">
      <w:pPr>
        <w:spacing w:after="0"/>
        <w:ind w:left="25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="00144F0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требований Приказа Минфина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РФ от 28.12.2010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г. № 191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44F0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16.11.2016)</w:t>
      </w:r>
      <w:r w:rsidR="00144F0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144F0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части полноты объема форм годовой отчетности; </w:t>
      </w:r>
    </w:p>
    <w:p w:rsidR="0016078E" w:rsidRPr="00ED4DE5" w:rsidRDefault="007B652D" w:rsidP="0016078E">
      <w:pPr>
        <w:spacing w:after="0"/>
        <w:ind w:left="25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правильности заполнения и своевременности представления. </w:t>
      </w:r>
    </w:p>
    <w:p w:rsidR="007B652D" w:rsidRPr="00ED4DE5" w:rsidRDefault="007B652D" w:rsidP="00887F35">
      <w:pPr>
        <w:spacing w:after="0"/>
        <w:ind w:left="25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бюджетная, бухгалтерская отчетность за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5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сформирована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</w:t>
      </w:r>
      <w:r w:rsidR="00096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 Кухаревского сельского по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Исилькульского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8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органом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организующим исполнение бюджета, уполномоченного на формирование бюджетной отчетности об исполнении местного бюджета, на основании бюджетной отчетности главных администраторов бюджетных средств в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требованиями ст.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264.2 БК РФ, Приказа Минфина РФ от 28.12.20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 № 191н.</w:t>
      </w:r>
      <w:r w:rsidR="00887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</w:t>
      </w:r>
      <w:r w:rsidR="00887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264.1 БК в состав бюджетной отчетности включены следующие формы отчетов:</w:t>
      </w:r>
    </w:p>
    <w:p w:rsidR="007B652D" w:rsidRPr="00ED4DE5" w:rsidRDefault="00887F35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по заключению счетов бюджетного учета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отчетного финансового года (ф.050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3110);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исполнении бюджета (ф.0503117);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ланс исполнения бюджета (ф.0503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120);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финансовых р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езультатах деятельности (ф.0503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121);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чет о движении денежных средств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 w:rsidR="001B2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0503123);</w:t>
      </w:r>
    </w:p>
    <w:p w:rsidR="007B652D" w:rsidRPr="00ED4DE5" w:rsidRDefault="0016078E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по расчетам (ф.0503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125);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бюджетных обязательствах (ф.0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503128);</w:t>
      </w:r>
    </w:p>
    <w:p w:rsidR="00F32BA7" w:rsidRDefault="0016078E" w:rsidP="00B424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3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(ф.0503</w:t>
      </w:r>
      <w:r w:rsidR="00887F35">
        <w:rPr>
          <w:rFonts w:ascii="Times New Roman" w:eastAsia="Times New Roman" w:hAnsi="Times New Roman" w:cs="Times New Roman"/>
          <w:color w:val="000000"/>
          <w:sz w:val="24"/>
          <w:szCs w:val="24"/>
        </w:rPr>
        <w:t>160).</w:t>
      </w:r>
    </w:p>
    <w:p w:rsidR="00B424F1" w:rsidRDefault="007B652D" w:rsidP="00B424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отчет об исполнении бюджета </w:t>
      </w:r>
      <w:r w:rsid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Кухаревского сельского поселения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 на основании обобщения показателей годовой бюджетной отчетности главных распорядителей бюджетных средств, главных администраторов доходов бюджета,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главных администраторов источников финансирования дефицита</w:t>
      </w:r>
      <w:r w:rsidR="00EA3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и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администраторов доходов местного бюджета, не являющихся получателями средств местного бюджета.</w:t>
      </w:r>
      <w:r w:rsidR="00B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отчет за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составлен, нарастающим итогом с начала года в рублях с точностью до второго десятичного знака после запятой, что соответствует п.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9 Инструкции 191H.</w:t>
      </w:r>
      <w:r w:rsidR="00B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отчет об исполнении бюджета за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5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год, бюджетная отчетность главных администраторов бюджетных средств, имеющая числовые значения, предоставлена в полном объеме.</w:t>
      </w:r>
      <w:r w:rsidR="00B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по объему доходов, расходов и источников финансирования дефицита бюджета, представленные в годовом отчете об исполнении местного бюджета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A61">
        <w:rPr>
          <w:rFonts w:ascii="Times New Roman" w:eastAsia="Times New Roman" w:hAnsi="Times New Roman" w:cs="Times New Roman"/>
          <w:color w:val="000000"/>
          <w:sz w:val="24"/>
          <w:szCs w:val="24"/>
        </w:rPr>
        <w:t>Кухаревского сельского поселения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согласуются с данными, отраженными в годовой бюджетной отчетности главных администраторов бюджетных средств, что свидетельствует о достове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дставленного отчета.</w:t>
      </w:r>
    </w:p>
    <w:p w:rsidR="00F32BA7" w:rsidRDefault="00F32BA7" w:rsidP="00B4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52D" w:rsidRPr="00A908EC" w:rsidRDefault="007B652D" w:rsidP="00B4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8EC">
        <w:rPr>
          <w:rFonts w:ascii="Times New Roman" w:hAnsi="Times New Roman" w:cs="Times New Roman"/>
          <w:b/>
          <w:sz w:val="24"/>
          <w:szCs w:val="24"/>
        </w:rPr>
        <w:t xml:space="preserve">Анализ показателей годового отчета об исполнении бюджета </w:t>
      </w:r>
      <w:r w:rsidR="00EA3A61" w:rsidRPr="00A908EC">
        <w:rPr>
          <w:rFonts w:ascii="Times New Roman" w:hAnsi="Times New Roman" w:cs="Times New Roman"/>
          <w:b/>
          <w:sz w:val="24"/>
          <w:szCs w:val="24"/>
        </w:rPr>
        <w:t xml:space="preserve">Кухаревского сельского поселения </w:t>
      </w:r>
      <w:r w:rsidRPr="00A908EC">
        <w:rPr>
          <w:rFonts w:ascii="Times New Roman" w:hAnsi="Times New Roman" w:cs="Times New Roman"/>
          <w:b/>
          <w:sz w:val="24"/>
          <w:szCs w:val="24"/>
        </w:rPr>
        <w:t>Исилькульского му</w:t>
      </w:r>
      <w:r w:rsidR="0016078E" w:rsidRPr="00A908EC">
        <w:rPr>
          <w:rFonts w:ascii="Times New Roman" w:hAnsi="Times New Roman" w:cs="Times New Roman"/>
          <w:b/>
          <w:sz w:val="24"/>
          <w:szCs w:val="24"/>
        </w:rPr>
        <w:t>ниципального района за 20</w:t>
      </w:r>
      <w:r w:rsidR="00D54777">
        <w:rPr>
          <w:rFonts w:ascii="Times New Roman" w:hAnsi="Times New Roman" w:cs="Times New Roman"/>
          <w:b/>
          <w:sz w:val="24"/>
          <w:szCs w:val="24"/>
        </w:rPr>
        <w:t>2</w:t>
      </w:r>
      <w:r w:rsidR="001C42F8">
        <w:rPr>
          <w:rFonts w:ascii="Times New Roman" w:hAnsi="Times New Roman" w:cs="Times New Roman"/>
          <w:b/>
          <w:sz w:val="24"/>
          <w:szCs w:val="24"/>
        </w:rPr>
        <w:t>3</w:t>
      </w:r>
      <w:r w:rsidR="0016078E" w:rsidRPr="00A908E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7272" w:rsidRDefault="007B652D" w:rsidP="00F32BA7">
      <w:pPr>
        <w:spacing w:after="1" w:line="231" w:lineRule="auto"/>
        <w:ind w:left="7" w:firstLine="14"/>
        <w:rPr>
          <w:rFonts w:ascii="Times New Roman" w:hAnsi="Times New Roman" w:cs="Times New Roman"/>
          <w:sz w:val="24"/>
          <w:szCs w:val="24"/>
        </w:rPr>
      </w:pP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годового отчета за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соответствуют плановым назначениям, утвержденными Решением Совета </w:t>
      </w:r>
      <w:r w:rsidR="00EA3A61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Кухаревского сельского поселения 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Исилькульского муниципального района Омской области «О бюджете</w:t>
      </w:r>
      <w:r w:rsidR="00EA3A61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A61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A3A61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</w:t>
      </w:r>
      <w:r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» от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16078E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7E0F9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78E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A3A61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78E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="0016078E" w:rsidRPr="00CE4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Первоначальный объем налоговых и неналоговых доходов на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был определен исходя из прогноза социально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экономического развития </w:t>
      </w:r>
      <w:r w:rsidR="00EA3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 w:rsidR="00D547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2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078E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с учетом нормативов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отчислений доходов от уплаты налогов и платежей в местный бюджет.</w:t>
      </w:r>
      <w:r w:rsidR="00887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hAnsi="Times New Roman" w:cs="Times New Roman"/>
          <w:sz w:val="24"/>
          <w:szCs w:val="24"/>
        </w:rPr>
        <w:t xml:space="preserve">Источниками формирования доходов бюджета </w:t>
      </w:r>
      <w:r w:rsidR="00EA3A61">
        <w:rPr>
          <w:rFonts w:ascii="Times New Roman" w:hAnsi="Times New Roman" w:cs="Times New Roman"/>
          <w:sz w:val="24"/>
          <w:szCs w:val="24"/>
        </w:rPr>
        <w:t xml:space="preserve">Кухаревского сельского поселения </w:t>
      </w:r>
      <w:r w:rsidRPr="00ED4DE5">
        <w:rPr>
          <w:rFonts w:ascii="Times New Roman" w:hAnsi="Times New Roman" w:cs="Times New Roman"/>
          <w:sz w:val="24"/>
          <w:szCs w:val="24"/>
        </w:rPr>
        <w:t>Исилькульского муниципального района являются федеральные, региональные и местные налоги, сборы и неналоговые доходы в соответствии с нормативами, установленными БК РФ, федеральным, областным и м</w:t>
      </w:r>
      <w:r w:rsidR="00A908EC">
        <w:rPr>
          <w:rFonts w:ascii="Times New Roman" w:hAnsi="Times New Roman" w:cs="Times New Roman"/>
          <w:sz w:val="24"/>
          <w:szCs w:val="24"/>
        </w:rPr>
        <w:t>естным законодательством, а так</w:t>
      </w:r>
      <w:r w:rsidRPr="00ED4DE5">
        <w:rPr>
          <w:rFonts w:ascii="Times New Roman" w:hAnsi="Times New Roman" w:cs="Times New Roman"/>
          <w:sz w:val="24"/>
          <w:szCs w:val="24"/>
        </w:rPr>
        <w:t>же безвозмездные поступления.</w:t>
      </w:r>
    </w:p>
    <w:p w:rsidR="00887F35" w:rsidRPr="0068440A" w:rsidRDefault="007B652D" w:rsidP="00F32BA7">
      <w:pPr>
        <w:spacing w:after="1" w:line="231" w:lineRule="auto"/>
        <w:ind w:left="7" w:firstLine="14"/>
        <w:rPr>
          <w:rFonts w:ascii="Times New Roman" w:hAnsi="Times New Roman" w:cs="Times New Roman"/>
          <w:sz w:val="24"/>
          <w:szCs w:val="24"/>
        </w:rPr>
      </w:pPr>
      <w:r w:rsidRPr="00ED4DE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EA3A61">
        <w:rPr>
          <w:rFonts w:ascii="Times New Roman" w:hAnsi="Times New Roman" w:cs="Times New Roman"/>
          <w:sz w:val="24"/>
          <w:szCs w:val="24"/>
        </w:rPr>
        <w:t xml:space="preserve">Кухаревского сельского поселения </w:t>
      </w:r>
      <w:r w:rsidRPr="00ED4DE5">
        <w:rPr>
          <w:rFonts w:ascii="Times New Roman" w:hAnsi="Times New Roman" w:cs="Times New Roman"/>
          <w:sz w:val="24"/>
          <w:szCs w:val="24"/>
        </w:rPr>
        <w:t>Исилькульского муниципального района</w:t>
      </w:r>
      <w:r w:rsidR="00D54777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ED4DE5">
        <w:rPr>
          <w:rFonts w:ascii="Times New Roman" w:hAnsi="Times New Roman" w:cs="Times New Roman"/>
          <w:sz w:val="24"/>
          <w:szCs w:val="24"/>
        </w:rPr>
        <w:t xml:space="preserve"> за </w:t>
      </w:r>
      <w:r w:rsidRPr="00066139">
        <w:rPr>
          <w:rFonts w:ascii="Times New Roman" w:hAnsi="Times New Roman" w:cs="Times New Roman"/>
          <w:sz w:val="24"/>
          <w:szCs w:val="24"/>
        </w:rPr>
        <w:t>20</w:t>
      </w:r>
      <w:r w:rsidR="00D54777">
        <w:rPr>
          <w:rFonts w:ascii="Times New Roman" w:hAnsi="Times New Roman" w:cs="Times New Roman"/>
          <w:sz w:val="24"/>
          <w:szCs w:val="24"/>
        </w:rPr>
        <w:t>2</w:t>
      </w:r>
      <w:r w:rsidR="001C42F8">
        <w:rPr>
          <w:rFonts w:ascii="Times New Roman" w:hAnsi="Times New Roman" w:cs="Times New Roman"/>
          <w:sz w:val="24"/>
          <w:szCs w:val="24"/>
        </w:rPr>
        <w:t>3</w:t>
      </w:r>
      <w:r w:rsidRPr="00066139">
        <w:rPr>
          <w:rFonts w:ascii="Times New Roman" w:hAnsi="Times New Roman" w:cs="Times New Roman"/>
          <w:sz w:val="24"/>
          <w:szCs w:val="24"/>
        </w:rPr>
        <w:t xml:space="preserve"> год исполнен </w:t>
      </w:r>
      <w:r w:rsidRPr="00937272">
        <w:rPr>
          <w:rFonts w:ascii="Times New Roman" w:hAnsi="Times New Roman" w:cs="Times New Roman"/>
          <w:sz w:val="24"/>
          <w:szCs w:val="24"/>
        </w:rPr>
        <w:t xml:space="preserve">на </w:t>
      </w:r>
      <w:r w:rsidR="00937272" w:rsidRPr="00937272">
        <w:rPr>
          <w:rFonts w:ascii="Times New Roman" w:hAnsi="Times New Roman" w:cs="Times New Roman"/>
          <w:sz w:val="24"/>
          <w:szCs w:val="24"/>
        </w:rPr>
        <w:t>98,3</w:t>
      </w:r>
      <w:r w:rsidRPr="00937272">
        <w:rPr>
          <w:rFonts w:ascii="Times New Roman" w:hAnsi="Times New Roman" w:cs="Times New Roman"/>
          <w:sz w:val="24"/>
          <w:szCs w:val="24"/>
        </w:rPr>
        <w:t xml:space="preserve"> проце</w:t>
      </w:r>
      <w:r w:rsidR="00F960E2" w:rsidRPr="00937272">
        <w:rPr>
          <w:rFonts w:ascii="Times New Roman" w:hAnsi="Times New Roman" w:cs="Times New Roman"/>
          <w:sz w:val="24"/>
          <w:szCs w:val="24"/>
        </w:rPr>
        <w:t>нт</w:t>
      </w:r>
      <w:r w:rsidR="00CA58AC" w:rsidRPr="00937272">
        <w:rPr>
          <w:rFonts w:ascii="Times New Roman" w:hAnsi="Times New Roman" w:cs="Times New Roman"/>
          <w:sz w:val="24"/>
          <w:szCs w:val="24"/>
        </w:rPr>
        <w:t>а</w:t>
      </w:r>
      <w:r w:rsidR="00F960E2" w:rsidRPr="00937272">
        <w:rPr>
          <w:rFonts w:ascii="Times New Roman" w:hAnsi="Times New Roman" w:cs="Times New Roman"/>
          <w:sz w:val="24"/>
          <w:szCs w:val="24"/>
        </w:rPr>
        <w:t xml:space="preserve"> к годовому бюджету (план </w:t>
      </w:r>
      <w:r w:rsidR="00937272" w:rsidRPr="00937272">
        <w:rPr>
          <w:rFonts w:ascii="Times New Roman" w:hAnsi="Times New Roman" w:cs="Times New Roman"/>
          <w:sz w:val="24"/>
          <w:szCs w:val="24"/>
        </w:rPr>
        <w:t>–</w:t>
      </w:r>
      <w:r w:rsidR="00C67E85"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="00937272" w:rsidRPr="00937272">
        <w:rPr>
          <w:rFonts w:ascii="Times New Roman" w:hAnsi="Times New Roman" w:cs="Times New Roman"/>
          <w:sz w:val="24"/>
          <w:szCs w:val="24"/>
        </w:rPr>
        <w:t>15897763,07</w:t>
      </w:r>
      <w:r w:rsidR="00F960E2" w:rsidRPr="00937272">
        <w:rPr>
          <w:rFonts w:ascii="Times New Roman" w:hAnsi="Times New Roman" w:cs="Times New Roman"/>
          <w:sz w:val="24"/>
          <w:szCs w:val="24"/>
        </w:rPr>
        <w:t xml:space="preserve"> руб.</w:t>
      </w:r>
      <w:r w:rsidRPr="00937272">
        <w:rPr>
          <w:rFonts w:ascii="Times New Roman" w:hAnsi="Times New Roman" w:cs="Times New Roman"/>
          <w:sz w:val="24"/>
          <w:szCs w:val="24"/>
        </w:rPr>
        <w:t>, факт</w:t>
      </w:r>
      <w:r w:rsidR="00C67E85"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="00937272" w:rsidRPr="00937272">
        <w:rPr>
          <w:rFonts w:ascii="Times New Roman" w:hAnsi="Times New Roman" w:cs="Times New Roman"/>
          <w:sz w:val="24"/>
          <w:szCs w:val="24"/>
        </w:rPr>
        <w:t>–</w:t>
      </w:r>
      <w:r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="00937272" w:rsidRPr="00937272">
        <w:rPr>
          <w:rFonts w:ascii="Times New Roman" w:hAnsi="Times New Roman" w:cs="Times New Roman"/>
          <w:sz w:val="24"/>
          <w:szCs w:val="24"/>
        </w:rPr>
        <w:t>15627506,83</w:t>
      </w:r>
      <w:r w:rsidRPr="00937272">
        <w:rPr>
          <w:rFonts w:ascii="Times New Roman" w:hAnsi="Times New Roman" w:cs="Times New Roman"/>
          <w:sz w:val="24"/>
          <w:szCs w:val="24"/>
        </w:rPr>
        <w:t xml:space="preserve"> руб.).</w:t>
      </w:r>
      <w:r w:rsidR="00887F35"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Pr="00937272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BC4A60" w:rsidRPr="00937272">
        <w:rPr>
          <w:rFonts w:ascii="Times New Roman" w:hAnsi="Times New Roman" w:cs="Times New Roman"/>
          <w:sz w:val="24"/>
          <w:szCs w:val="24"/>
        </w:rPr>
        <w:t xml:space="preserve">Кухаревского сельского поселения </w:t>
      </w:r>
      <w:r w:rsidRPr="00937272">
        <w:rPr>
          <w:rFonts w:ascii="Times New Roman" w:hAnsi="Times New Roman" w:cs="Times New Roman"/>
          <w:sz w:val="24"/>
          <w:szCs w:val="24"/>
        </w:rPr>
        <w:t>Исилькульского муниципального района за 20</w:t>
      </w:r>
      <w:r w:rsidR="00D54777" w:rsidRPr="00937272">
        <w:rPr>
          <w:rFonts w:ascii="Times New Roman" w:hAnsi="Times New Roman" w:cs="Times New Roman"/>
          <w:sz w:val="24"/>
          <w:szCs w:val="24"/>
        </w:rPr>
        <w:t>2</w:t>
      </w:r>
      <w:r w:rsidR="00937272" w:rsidRPr="00937272">
        <w:rPr>
          <w:rFonts w:ascii="Times New Roman" w:hAnsi="Times New Roman" w:cs="Times New Roman"/>
          <w:sz w:val="24"/>
          <w:szCs w:val="24"/>
        </w:rPr>
        <w:t>3</w:t>
      </w:r>
      <w:r w:rsidRPr="00937272">
        <w:rPr>
          <w:rFonts w:ascii="Times New Roman" w:hAnsi="Times New Roman" w:cs="Times New Roman"/>
          <w:sz w:val="24"/>
          <w:szCs w:val="24"/>
        </w:rPr>
        <w:t>год</w:t>
      </w:r>
      <w:r w:rsidR="0016078E" w:rsidRPr="00937272">
        <w:rPr>
          <w:rFonts w:ascii="Times New Roman" w:hAnsi="Times New Roman" w:cs="Times New Roman"/>
          <w:sz w:val="24"/>
          <w:szCs w:val="24"/>
        </w:rPr>
        <w:t xml:space="preserve"> в соответствии с отчетом по ф.0</w:t>
      </w:r>
      <w:r w:rsidRPr="00937272">
        <w:rPr>
          <w:rFonts w:ascii="Times New Roman" w:hAnsi="Times New Roman" w:cs="Times New Roman"/>
          <w:sz w:val="24"/>
          <w:szCs w:val="24"/>
        </w:rPr>
        <w:t>50</w:t>
      </w:r>
      <w:r w:rsidR="0016078E" w:rsidRPr="00937272">
        <w:rPr>
          <w:rFonts w:ascii="Times New Roman" w:hAnsi="Times New Roman" w:cs="Times New Roman"/>
          <w:sz w:val="24"/>
          <w:szCs w:val="24"/>
        </w:rPr>
        <w:t>3</w:t>
      </w:r>
      <w:r w:rsidRPr="00937272">
        <w:rPr>
          <w:rFonts w:ascii="Times New Roman" w:hAnsi="Times New Roman" w:cs="Times New Roman"/>
          <w:sz w:val="24"/>
          <w:szCs w:val="24"/>
        </w:rPr>
        <w:t xml:space="preserve">117 «Отчет об исполнении бюджета» в целом выполнена на </w:t>
      </w:r>
      <w:r w:rsidR="00CA58AC" w:rsidRPr="00937272">
        <w:rPr>
          <w:rFonts w:ascii="Times New Roman" w:hAnsi="Times New Roman" w:cs="Times New Roman"/>
          <w:sz w:val="24"/>
          <w:szCs w:val="24"/>
        </w:rPr>
        <w:t>9</w:t>
      </w:r>
      <w:r w:rsidR="00937272" w:rsidRPr="00937272">
        <w:rPr>
          <w:rFonts w:ascii="Times New Roman" w:hAnsi="Times New Roman" w:cs="Times New Roman"/>
          <w:sz w:val="24"/>
          <w:szCs w:val="24"/>
        </w:rPr>
        <w:t>9</w:t>
      </w:r>
      <w:r w:rsidR="007E0F9B" w:rsidRPr="00937272">
        <w:rPr>
          <w:rFonts w:ascii="Times New Roman" w:hAnsi="Times New Roman" w:cs="Times New Roman"/>
          <w:sz w:val="24"/>
          <w:szCs w:val="24"/>
        </w:rPr>
        <w:t>,</w:t>
      </w:r>
      <w:r w:rsidR="00937272" w:rsidRPr="00937272">
        <w:rPr>
          <w:rFonts w:ascii="Times New Roman" w:hAnsi="Times New Roman" w:cs="Times New Roman"/>
          <w:sz w:val="24"/>
          <w:szCs w:val="24"/>
        </w:rPr>
        <w:t>8</w:t>
      </w:r>
      <w:r w:rsidRPr="00937272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CA58AC" w:rsidRPr="00937272">
        <w:rPr>
          <w:rFonts w:ascii="Times New Roman" w:hAnsi="Times New Roman" w:cs="Times New Roman"/>
          <w:sz w:val="24"/>
          <w:szCs w:val="24"/>
        </w:rPr>
        <w:t>ов</w:t>
      </w:r>
      <w:r w:rsidRPr="00937272">
        <w:rPr>
          <w:rFonts w:ascii="Times New Roman" w:hAnsi="Times New Roman" w:cs="Times New Roman"/>
          <w:sz w:val="24"/>
          <w:szCs w:val="24"/>
        </w:rPr>
        <w:t xml:space="preserve">, при плане расходов </w:t>
      </w:r>
      <w:r w:rsidR="00937272" w:rsidRPr="00937272">
        <w:rPr>
          <w:rFonts w:ascii="Times New Roman" w:hAnsi="Times New Roman" w:cs="Times New Roman"/>
          <w:sz w:val="24"/>
          <w:szCs w:val="24"/>
        </w:rPr>
        <w:t>15851975,50</w:t>
      </w:r>
      <w:r w:rsidRPr="00937272">
        <w:rPr>
          <w:rFonts w:ascii="Times New Roman" w:hAnsi="Times New Roman" w:cs="Times New Roman"/>
          <w:sz w:val="24"/>
          <w:szCs w:val="24"/>
        </w:rPr>
        <w:t xml:space="preserve"> руб., исполнение составило </w:t>
      </w:r>
      <w:r w:rsidR="00937272" w:rsidRPr="00937272">
        <w:rPr>
          <w:rFonts w:ascii="Times New Roman" w:hAnsi="Times New Roman" w:cs="Times New Roman"/>
          <w:sz w:val="24"/>
          <w:szCs w:val="24"/>
        </w:rPr>
        <w:t>15825378,46</w:t>
      </w:r>
      <w:r w:rsidRPr="00937272">
        <w:rPr>
          <w:rFonts w:ascii="Times New Roman" w:hAnsi="Times New Roman" w:cs="Times New Roman"/>
          <w:sz w:val="24"/>
          <w:szCs w:val="24"/>
        </w:rPr>
        <w:t xml:space="preserve"> руб.</w:t>
      </w:r>
      <w:r w:rsidR="00887F35"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Pr="00937272">
        <w:rPr>
          <w:rFonts w:ascii="Times New Roman" w:hAnsi="Times New Roman" w:cs="Times New Roman"/>
          <w:sz w:val="24"/>
          <w:szCs w:val="24"/>
        </w:rPr>
        <w:t>Дебиторская задолженность на 01.01.202</w:t>
      </w:r>
      <w:r w:rsidR="00937272" w:rsidRPr="00937272">
        <w:rPr>
          <w:rFonts w:ascii="Times New Roman" w:hAnsi="Times New Roman" w:cs="Times New Roman"/>
          <w:sz w:val="24"/>
          <w:szCs w:val="24"/>
        </w:rPr>
        <w:t>4</w:t>
      </w:r>
      <w:r w:rsidRPr="0093727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011517">
        <w:rPr>
          <w:rFonts w:ascii="Times New Roman" w:hAnsi="Times New Roman" w:cs="Times New Roman"/>
          <w:sz w:val="24"/>
          <w:szCs w:val="24"/>
        </w:rPr>
        <w:t>счету 0</w:t>
      </w:r>
      <w:r w:rsidR="00CE47BE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 xml:space="preserve">205 00 </w:t>
      </w:r>
      <w:r w:rsidR="00CE47BE" w:rsidRPr="00011517">
        <w:rPr>
          <w:rFonts w:ascii="Times New Roman" w:hAnsi="Times New Roman" w:cs="Times New Roman"/>
          <w:sz w:val="24"/>
          <w:szCs w:val="24"/>
        </w:rPr>
        <w:t>000</w:t>
      </w:r>
      <w:r w:rsidRPr="00011517">
        <w:rPr>
          <w:rFonts w:ascii="Times New Roman" w:hAnsi="Times New Roman" w:cs="Times New Roman"/>
          <w:sz w:val="24"/>
          <w:szCs w:val="24"/>
        </w:rPr>
        <w:t xml:space="preserve"> «Расчеты по доходам» составила </w:t>
      </w:r>
      <w:r w:rsidR="00011517" w:rsidRPr="00011517">
        <w:rPr>
          <w:rFonts w:ascii="Times New Roman" w:hAnsi="Times New Roman" w:cs="Times New Roman"/>
          <w:sz w:val="24"/>
          <w:szCs w:val="24"/>
        </w:rPr>
        <w:t>22861879,38</w:t>
      </w:r>
      <w:r w:rsidR="00C17A89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руб.</w:t>
      </w:r>
      <w:r w:rsidR="00B424F1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C17A89" w:rsidRPr="00011517">
        <w:rPr>
          <w:rFonts w:ascii="Times New Roman" w:hAnsi="Times New Roman" w:cs="Times New Roman"/>
          <w:sz w:val="24"/>
          <w:szCs w:val="24"/>
        </w:rPr>
        <w:t>на 01.01.202</w:t>
      </w:r>
      <w:r w:rsidR="00011517" w:rsidRPr="00011517">
        <w:rPr>
          <w:rFonts w:ascii="Times New Roman" w:hAnsi="Times New Roman" w:cs="Times New Roman"/>
          <w:sz w:val="24"/>
          <w:szCs w:val="24"/>
        </w:rPr>
        <w:t>4</w:t>
      </w:r>
      <w:r w:rsidR="00C67E85" w:rsidRPr="000115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17A89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="0009666B">
        <w:rPr>
          <w:rFonts w:ascii="Times New Roman" w:hAnsi="Times New Roman" w:cs="Times New Roman"/>
          <w:sz w:val="24"/>
          <w:szCs w:val="24"/>
        </w:rPr>
        <w:t xml:space="preserve">всего по </w:t>
      </w:r>
      <w:r w:rsidRPr="00011517">
        <w:rPr>
          <w:rFonts w:ascii="Times New Roman" w:hAnsi="Times New Roman" w:cs="Times New Roman"/>
          <w:sz w:val="24"/>
          <w:szCs w:val="24"/>
        </w:rPr>
        <w:t>муниципальному бюджету на конец 20</w:t>
      </w:r>
      <w:r w:rsidR="00D54777" w:rsidRPr="00011517">
        <w:rPr>
          <w:rFonts w:ascii="Times New Roman" w:hAnsi="Times New Roman" w:cs="Times New Roman"/>
          <w:sz w:val="24"/>
          <w:szCs w:val="24"/>
        </w:rPr>
        <w:t>2</w:t>
      </w:r>
      <w:r w:rsidR="00011517" w:rsidRPr="00011517">
        <w:rPr>
          <w:rFonts w:ascii="Times New Roman" w:hAnsi="Times New Roman" w:cs="Times New Roman"/>
          <w:sz w:val="24"/>
          <w:szCs w:val="24"/>
        </w:rPr>
        <w:t>3</w:t>
      </w:r>
      <w:r w:rsidRPr="00011517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011517" w:rsidRPr="00011517">
        <w:rPr>
          <w:rFonts w:ascii="Times New Roman" w:hAnsi="Times New Roman" w:cs="Times New Roman"/>
          <w:sz w:val="24"/>
          <w:szCs w:val="24"/>
        </w:rPr>
        <w:t>725293,92</w:t>
      </w:r>
      <w:r w:rsidRPr="00011517">
        <w:rPr>
          <w:rFonts w:ascii="Times New Roman" w:hAnsi="Times New Roman" w:cs="Times New Roman"/>
          <w:sz w:val="24"/>
          <w:szCs w:val="24"/>
        </w:rPr>
        <w:t xml:space="preserve"> руб.</w:t>
      </w:r>
      <w:r w:rsidR="00887F35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Остаток средств на 01.01.202</w:t>
      </w:r>
      <w:r w:rsidR="00937272" w:rsidRPr="00011517">
        <w:rPr>
          <w:rFonts w:ascii="Times New Roman" w:hAnsi="Times New Roman" w:cs="Times New Roman"/>
          <w:sz w:val="24"/>
          <w:szCs w:val="24"/>
        </w:rPr>
        <w:t>4</w:t>
      </w:r>
      <w:r w:rsidRPr="0001151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937272" w:rsidRPr="00011517">
        <w:rPr>
          <w:rFonts w:ascii="Times New Roman" w:hAnsi="Times New Roman" w:cs="Times New Roman"/>
          <w:sz w:val="24"/>
          <w:szCs w:val="24"/>
        </w:rPr>
        <w:t>799225,98</w:t>
      </w:r>
      <w:r w:rsidRPr="00011517">
        <w:rPr>
          <w:rFonts w:ascii="Times New Roman" w:hAnsi="Times New Roman" w:cs="Times New Roman"/>
          <w:sz w:val="24"/>
          <w:szCs w:val="24"/>
        </w:rPr>
        <w:t xml:space="preserve"> руб., в том числе остатки дорожного фонда</w:t>
      </w:r>
      <w:r w:rsidRPr="00937272">
        <w:rPr>
          <w:rFonts w:ascii="Times New Roman" w:hAnsi="Times New Roman" w:cs="Times New Roman"/>
          <w:sz w:val="24"/>
          <w:szCs w:val="24"/>
        </w:rPr>
        <w:t xml:space="preserve"> </w:t>
      </w:r>
      <w:r w:rsidR="00937272" w:rsidRPr="00937272">
        <w:rPr>
          <w:rFonts w:ascii="Times New Roman" w:hAnsi="Times New Roman" w:cs="Times New Roman"/>
          <w:sz w:val="24"/>
          <w:szCs w:val="24"/>
        </w:rPr>
        <w:t>11597,04</w:t>
      </w:r>
      <w:r w:rsidRPr="00937272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68440A">
        <w:rPr>
          <w:rFonts w:ascii="Times New Roman" w:hAnsi="Times New Roman" w:cs="Times New Roman"/>
          <w:sz w:val="24"/>
          <w:szCs w:val="24"/>
        </w:rPr>
        <w:t>В 202</w:t>
      </w:r>
      <w:r w:rsidR="00011517">
        <w:rPr>
          <w:rFonts w:ascii="Times New Roman" w:hAnsi="Times New Roman" w:cs="Times New Roman"/>
          <w:sz w:val="24"/>
          <w:szCs w:val="24"/>
        </w:rPr>
        <w:t>4</w:t>
      </w:r>
      <w:r w:rsidRPr="0068440A">
        <w:rPr>
          <w:rFonts w:ascii="Times New Roman" w:hAnsi="Times New Roman" w:cs="Times New Roman"/>
          <w:sz w:val="24"/>
          <w:szCs w:val="24"/>
        </w:rPr>
        <w:t xml:space="preserve"> году средства будут направлены на:</w:t>
      </w:r>
    </w:p>
    <w:p w:rsidR="007B652D" w:rsidRPr="0068440A" w:rsidRDefault="007B652D" w:rsidP="00F32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40A">
        <w:rPr>
          <w:rFonts w:ascii="Times New Roman" w:hAnsi="Times New Roman" w:cs="Times New Roman"/>
          <w:sz w:val="24"/>
          <w:szCs w:val="24"/>
        </w:rPr>
        <w:t>-</w:t>
      </w:r>
      <w:r w:rsidR="00F32BA7" w:rsidRPr="0068440A">
        <w:rPr>
          <w:rFonts w:ascii="Times New Roman" w:hAnsi="Times New Roman" w:cs="Times New Roman"/>
          <w:sz w:val="24"/>
          <w:szCs w:val="24"/>
        </w:rPr>
        <w:t xml:space="preserve"> </w:t>
      </w:r>
      <w:r w:rsidRPr="0068440A">
        <w:rPr>
          <w:rFonts w:ascii="Times New Roman" w:hAnsi="Times New Roman" w:cs="Times New Roman"/>
          <w:sz w:val="24"/>
          <w:szCs w:val="24"/>
        </w:rPr>
        <w:t>увеличение плана по содержанию, строительству и реконструкции дорог, на основании положений об использовании остатков средств дорожных фондов;</w:t>
      </w:r>
    </w:p>
    <w:p w:rsidR="007B652D" w:rsidRPr="0068440A" w:rsidRDefault="004C1AE6" w:rsidP="00F32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40A">
        <w:rPr>
          <w:rFonts w:ascii="Times New Roman" w:hAnsi="Times New Roman" w:cs="Times New Roman"/>
          <w:sz w:val="24"/>
          <w:szCs w:val="24"/>
        </w:rPr>
        <w:t>-</w:t>
      </w:r>
      <w:r w:rsidR="001906B1" w:rsidRPr="0068440A">
        <w:rPr>
          <w:rFonts w:ascii="Times New Roman" w:hAnsi="Times New Roman" w:cs="Times New Roman"/>
          <w:sz w:val="24"/>
          <w:szCs w:val="24"/>
        </w:rPr>
        <w:t xml:space="preserve"> </w:t>
      </w:r>
      <w:r w:rsidR="007B652D" w:rsidRPr="0068440A">
        <w:rPr>
          <w:rFonts w:ascii="Times New Roman" w:hAnsi="Times New Roman" w:cs="Times New Roman"/>
          <w:sz w:val="24"/>
          <w:szCs w:val="24"/>
        </w:rPr>
        <w:t xml:space="preserve">устранение предписаний надзорных органов по отраслям </w:t>
      </w:r>
      <w:r w:rsidR="00066139" w:rsidRPr="0068440A">
        <w:rPr>
          <w:rFonts w:ascii="Times New Roman" w:hAnsi="Times New Roman" w:cs="Times New Roman"/>
          <w:sz w:val="24"/>
          <w:szCs w:val="24"/>
        </w:rPr>
        <w:t>«Дорожное хозяйство»</w:t>
      </w:r>
      <w:r w:rsidR="007B652D" w:rsidRPr="0068440A">
        <w:rPr>
          <w:rFonts w:ascii="Times New Roman" w:hAnsi="Times New Roman" w:cs="Times New Roman"/>
          <w:sz w:val="24"/>
          <w:szCs w:val="24"/>
        </w:rPr>
        <w:t>;</w:t>
      </w:r>
    </w:p>
    <w:p w:rsidR="007B652D" w:rsidRPr="0068440A" w:rsidRDefault="004C1AE6" w:rsidP="00F32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40A">
        <w:rPr>
          <w:rFonts w:ascii="Times New Roman" w:hAnsi="Times New Roman" w:cs="Times New Roman"/>
          <w:sz w:val="24"/>
          <w:szCs w:val="24"/>
        </w:rPr>
        <w:t>-</w:t>
      </w:r>
      <w:r w:rsidR="001906B1" w:rsidRPr="0068440A">
        <w:rPr>
          <w:rFonts w:ascii="Times New Roman" w:hAnsi="Times New Roman" w:cs="Times New Roman"/>
          <w:sz w:val="24"/>
          <w:szCs w:val="24"/>
        </w:rPr>
        <w:t xml:space="preserve"> </w:t>
      </w:r>
      <w:r w:rsidR="007B652D" w:rsidRPr="0068440A">
        <w:rPr>
          <w:rFonts w:ascii="Times New Roman" w:hAnsi="Times New Roman" w:cs="Times New Roman"/>
          <w:sz w:val="24"/>
          <w:szCs w:val="24"/>
        </w:rPr>
        <w:t>долю со</w:t>
      </w:r>
      <w:r w:rsidR="0009666B">
        <w:rPr>
          <w:rFonts w:ascii="Times New Roman" w:hAnsi="Times New Roman" w:cs="Times New Roman"/>
          <w:sz w:val="24"/>
          <w:szCs w:val="24"/>
        </w:rPr>
        <w:t xml:space="preserve"> </w:t>
      </w:r>
      <w:r w:rsidR="007B652D" w:rsidRPr="0068440A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066139" w:rsidRPr="0068440A">
        <w:rPr>
          <w:rFonts w:ascii="Times New Roman" w:hAnsi="Times New Roman" w:cs="Times New Roman"/>
          <w:sz w:val="24"/>
          <w:szCs w:val="24"/>
        </w:rPr>
        <w:t>поселения</w:t>
      </w:r>
      <w:r w:rsidR="007B652D" w:rsidRPr="0068440A">
        <w:rPr>
          <w:rFonts w:ascii="Times New Roman" w:hAnsi="Times New Roman" w:cs="Times New Roman"/>
          <w:sz w:val="24"/>
          <w:szCs w:val="24"/>
        </w:rPr>
        <w:t xml:space="preserve"> для участия в областных и федеральных программах, национальных и региональных проектах, направленных на развитие </w:t>
      </w:r>
      <w:r w:rsidR="00343935" w:rsidRPr="0068440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B652D" w:rsidRPr="0068440A">
        <w:rPr>
          <w:rFonts w:ascii="Times New Roman" w:hAnsi="Times New Roman" w:cs="Times New Roman"/>
          <w:sz w:val="24"/>
          <w:szCs w:val="24"/>
        </w:rPr>
        <w:t>.</w:t>
      </w:r>
    </w:p>
    <w:p w:rsidR="007B652D" w:rsidRPr="00011517" w:rsidRDefault="0016078E" w:rsidP="00F32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Результат исполнения бюджета </w:t>
      </w:r>
      <w:r w:rsidR="00C17A89" w:rsidRPr="00011517">
        <w:rPr>
          <w:rFonts w:ascii="Times New Roman" w:hAnsi="Times New Roman" w:cs="Times New Roman"/>
          <w:sz w:val="24"/>
          <w:szCs w:val="24"/>
        </w:rPr>
        <w:t>профицит</w:t>
      </w:r>
      <w:r w:rsidR="007B652D" w:rsidRPr="00011517">
        <w:rPr>
          <w:rFonts w:ascii="Times New Roman" w:hAnsi="Times New Roman" w:cs="Times New Roman"/>
          <w:sz w:val="24"/>
          <w:szCs w:val="24"/>
        </w:rPr>
        <w:t xml:space="preserve"> в с</w:t>
      </w:r>
      <w:r w:rsidRPr="00011517">
        <w:rPr>
          <w:rFonts w:ascii="Times New Roman" w:hAnsi="Times New Roman" w:cs="Times New Roman"/>
          <w:sz w:val="24"/>
          <w:szCs w:val="24"/>
        </w:rPr>
        <w:t>умм</w:t>
      </w:r>
      <w:r w:rsidR="007B652D" w:rsidRPr="00011517">
        <w:rPr>
          <w:rFonts w:ascii="Times New Roman" w:hAnsi="Times New Roman" w:cs="Times New Roman"/>
          <w:sz w:val="24"/>
          <w:szCs w:val="24"/>
        </w:rPr>
        <w:t xml:space="preserve">е </w:t>
      </w:r>
      <w:r w:rsidR="00011517" w:rsidRPr="00011517">
        <w:rPr>
          <w:rFonts w:ascii="Times New Roman" w:hAnsi="Times New Roman" w:cs="Times New Roman"/>
          <w:sz w:val="24"/>
          <w:szCs w:val="24"/>
        </w:rPr>
        <w:t>197871,63</w:t>
      </w:r>
      <w:r w:rsidR="00F32BA7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руб</w:t>
      </w:r>
      <w:r w:rsidR="007B652D" w:rsidRPr="00011517">
        <w:rPr>
          <w:rFonts w:ascii="Times New Roman" w:hAnsi="Times New Roman" w:cs="Times New Roman"/>
          <w:sz w:val="24"/>
          <w:szCs w:val="24"/>
        </w:rPr>
        <w:t>.</w:t>
      </w:r>
    </w:p>
    <w:p w:rsidR="00C462DC" w:rsidRPr="00011517" w:rsidRDefault="007B652D" w:rsidP="00C46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17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7B652D" w:rsidRPr="0068440A" w:rsidRDefault="00B424F1" w:rsidP="00B424F1">
      <w:pPr>
        <w:spacing w:after="7" w:line="230" w:lineRule="auto"/>
        <w:ind w:left="32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77307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 13 Федерального закона № 402-ФЗ «О бухгалтерском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учете» бухгалтерская отчетность дает четкое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</w:t>
      </w:r>
    </w:p>
    <w:p w:rsidR="007B652D" w:rsidRPr="0068440A" w:rsidRDefault="00B424F1" w:rsidP="00B424F1">
      <w:pPr>
        <w:spacing w:after="0" w:line="220" w:lineRule="auto"/>
        <w:ind w:left="32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77307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отчет за 20</w:t>
      </w:r>
      <w:r w:rsidR="00B70E41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составлен в соответствии с Инструкцией </w:t>
      </w:r>
      <w:r w:rsidR="00C462DC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191н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ФСБУ</w:t>
      </w:r>
      <w:r w:rsidR="00B70E41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0E41" w:rsidRPr="0068440A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№ 260</w:t>
      </w:r>
      <w:r w:rsidR="00B70E41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2DC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бухгалтерской </w:t>
      </w:r>
      <w:r w:rsidR="0016078E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инансовой</w:t>
      </w:r>
      <w:r w:rsidR="00BC4A60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) отчетности»</w:t>
      </w:r>
      <w:r w:rsidR="00977307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C4A60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B70E41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C4A60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256</w:t>
      </w:r>
      <w:r w:rsidR="00B70E41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C4A60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2DC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B652D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Концептуальные основы бухгалтерского учета и отчетности организаций государственного сектора</w:t>
      </w:r>
      <w:r w:rsidR="00C462DC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7307" w:rsidRP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7272" w:rsidRDefault="00937272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E41" w:rsidRDefault="00F06D27" w:rsidP="00B70E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32Н</w:t>
      </w:r>
      <w:r w:rsidR="00B70E41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«Доходы»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70E41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 258Н «Аренда»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257Н «Основные средства»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259Н «Обесценивание активов»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274Н «Учетная политика, оценочные значения и ошибки»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E41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275Н «События после отчетной даты»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078E" w:rsidRPr="00ED4DE5" w:rsidRDefault="00F06D27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278</w:t>
      </w:r>
      <w:r w:rsidR="00B70E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2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462DC">
        <w:rPr>
          <w:rFonts w:ascii="Times New Roman" w:eastAsia="Times New Roman" w:hAnsi="Times New Roman" w:cs="Times New Roman"/>
          <w:color w:val="000000"/>
          <w:sz w:val="24"/>
          <w:szCs w:val="24"/>
        </w:rPr>
        <w:t>чет о движении денежных средств»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652D" w:rsidRPr="00ED4DE5" w:rsidRDefault="0016078E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 проверкой установлен необходимый уровень достоверности бюджетной отчетности главных администраторов бюджетных средств, а также полноты и правильности составления отчета об исполнении бюджета за 20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 превышения фактического финансирования по отчету об исполнении бюджета над утвержденными назначениями не установлено.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Доходная и расходная часть бюджета </w:t>
      </w:r>
      <w:r w:rsidR="00BC4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исполнена в 20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соответствии с законодательством.</w:t>
      </w:r>
    </w:p>
    <w:p w:rsidR="007B652D" w:rsidRPr="00ED4DE5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7A8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D11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7A89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фицит</w:t>
      </w:r>
      <w:r w:rsidRPr="00066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составил </w:t>
      </w:r>
      <w:r w:rsid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197871,63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7B652D" w:rsidRPr="00ED4DE5" w:rsidRDefault="00CB7506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долг </w:t>
      </w:r>
      <w:r w:rsidR="00BC4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Кухаревского сельского поселения 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Исилькульского муниципального района Омской области на</w:t>
      </w:r>
      <w:r w:rsidR="00BC4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01.01.20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AE6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. отсутствует.</w:t>
      </w:r>
    </w:p>
    <w:p w:rsidR="007B652D" w:rsidRPr="00011517" w:rsidRDefault="00CB7506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0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B652D" w:rsidRPr="00CB7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52D" w:rsidRPr="00CB75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Просроченная дебиторская задолженность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доходам на 01.01.202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572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составила </w:t>
      </w:r>
      <w:r w:rsidR="00011517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265715,68</w:t>
      </w:r>
      <w:r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="007B652D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7506" w:rsidRPr="00ED4DE5" w:rsidRDefault="00CB7506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77307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E6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редиторская задолженность</w:t>
      </w:r>
      <w:r w:rsidR="00CE47BE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01.01.202</w:t>
      </w:r>
      <w:r w:rsidR="0068440A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67E85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7BE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77307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5EB9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E6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исполнительному листу перед АО «Омскоблводопровод» </w:t>
      </w:r>
      <w:r w:rsidR="005C5EB9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 </w:t>
      </w:r>
      <w:r w:rsidR="00011517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632</w:t>
      </w:r>
      <w:r w:rsidR="005C5EB9" w:rsidRPr="00011517">
        <w:rPr>
          <w:rFonts w:ascii="Times New Roman" w:eastAsia="Times New Roman" w:hAnsi="Times New Roman" w:cs="Times New Roman"/>
          <w:color w:val="000000"/>
          <w:sz w:val="24"/>
          <w:szCs w:val="24"/>
        </w:rPr>
        <w:t>010,86 руб.</w:t>
      </w:r>
    </w:p>
    <w:p w:rsidR="007B652D" w:rsidRPr="00ED4DE5" w:rsidRDefault="00C462DC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7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D0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годовом отчете</w:t>
      </w:r>
      <w:r w:rsidR="007B652D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все необходимые сведения по исполнению бюджета, при проверке контрольных соотношений между показателями форм бюджетной отчетности несоответствия показателей не установлено, показатели форм взаимоувязаны.</w:t>
      </w:r>
    </w:p>
    <w:p w:rsidR="007B652D" w:rsidRDefault="007B652D" w:rsidP="007B65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977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r w:rsidR="004C1AE6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отчет об исполнении бюджета </w:t>
      </w:r>
      <w:r w:rsidR="00BC4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Кухаревского сельского поселения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Исилькульского муниципального района за</w:t>
      </w:r>
      <w:r w:rsidR="00BC4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B6B1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C5E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44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B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признан соответствующим </w:t>
      </w:r>
      <w:r w:rsidR="004C1AE6"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D4DE5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 бюджетного законодательства.</w:t>
      </w:r>
    </w:p>
    <w:tbl>
      <w:tblPr>
        <w:tblpPr w:leftFromText="180" w:rightFromText="180" w:vertAnchor="text" w:horzAnchor="margin" w:tblpY="180"/>
        <w:tblW w:w="0" w:type="auto"/>
        <w:tblLook w:val="01E0" w:firstRow="1" w:lastRow="1" w:firstColumn="1" w:lastColumn="1" w:noHBand="0" w:noVBand="0"/>
      </w:tblPr>
      <w:tblGrid>
        <w:gridCol w:w="3544"/>
        <w:gridCol w:w="5811"/>
      </w:tblGrid>
      <w:tr w:rsidR="001C7F2E" w:rsidRPr="001C7F2E" w:rsidTr="0068440A">
        <w:trPr>
          <w:trHeight w:val="709"/>
        </w:trPr>
        <w:tc>
          <w:tcPr>
            <w:tcW w:w="3544" w:type="dxa"/>
            <w:vAlign w:val="center"/>
          </w:tcPr>
          <w:p w:rsidR="001C7F2E" w:rsidRPr="001C7F2E" w:rsidRDefault="001C7F2E" w:rsidP="0068440A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11" w:type="dxa"/>
            <w:vAlign w:val="center"/>
          </w:tcPr>
          <w:p w:rsidR="001C7F2E" w:rsidRPr="001C7F2E" w:rsidRDefault="0068440A" w:rsidP="00E13A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05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 </w:t>
            </w:r>
            <w:r w:rsidR="002D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Попандопуло</w:t>
            </w:r>
          </w:p>
        </w:tc>
      </w:tr>
      <w:tr w:rsidR="001C7F2E" w:rsidRPr="001C7F2E" w:rsidTr="00E13A04">
        <w:trPr>
          <w:trHeight w:val="537"/>
        </w:trPr>
        <w:tc>
          <w:tcPr>
            <w:tcW w:w="3544" w:type="dxa"/>
          </w:tcPr>
          <w:p w:rsidR="001C7F2E" w:rsidRPr="001C7F2E" w:rsidRDefault="001C7F2E" w:rsidP="001C7F2E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5811" w:type="dxa"/>
            <w:vAlign w:val="center"/>
          </w:tcPr>
          <w:p w:rsidR="001C7F2E" w:rsidRPr="001C7F2E" w:rsidRDefault="002D2394" w:rsidP="006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8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B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 Коленцева</w:t>
            </w:r>
          </w:p>
        </w:tc>
      </w:tr>
      <w:tr w:rsidR="001C7F2E" w:rsidRPr="001C7F2E" w:rsidTr="00E13A04">
        <w:trPr>
          <w:trHeight w:val="701"/>
        </w:trPr>
        <w:tc>
          <w:tcPr>
            <w:tcW w:w="3544" w:type="dxa"/>
          </w:tcPr>
          <w:p w:rsidR="001C7F2E" w:rsidRPr="001C7F2E" w:rsidRDefault="001C7F2E" w:rsidP="001C7F2E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1C7F2E" w:rsidRPr="001C7F2E" w:rsidRDefault="002D2394" w:rsidP="006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 Пынникова</w:t>
            </w:r>
          </w:p>
        </w:tc>
      </w:tr>
      <w:tr w:rsidR="001C7F2E" w:rsidRPr="001C7F2E" w:rsidTr="00E13A04">
        <w:trPr>
          <w:trHeight w:val="698"/>
        </w:trPr>
        <w:tc>
          <w:tcPr>
            <w:tcW w:w="3544" w:type="dxa"/>
          </w:tcPr>
          <w:p w:rsidR="001C7F2E" w:rsidRPr="001C7F2E" w:rsidRDefault="001C7F2E" w:rsidP="001C7F2E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1C7F2E" w:rsidRPr="001C7F2E" w:rsidRDefault="002D2394" w:rsidP="006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68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5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 Зубарева</w:t>
            </w:r>
          </w:p>
        </w:tc>
      </w:tr>
    </w:tbl>
    <w:p w:rsidR="001C7F2E" w:rsidRPr="001C7F2E" w:rsidRDefault="001C7F2E" w:rsidP="00887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1C7F2E" w:rsidRPr="001C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1F45"/>
    <w:multiLevelType w:val="hybridMultilevel"/>
    <w:tmpl w:val="BD1A28F6"/>
    <w:lvl w:ilvl="0" w:tplc="EF981D3C">
      <w:start w:val="1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C5F68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48CA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3510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4E7D2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8359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6499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A975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7116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35505"/>
    <w:multiLevelType w:val="hybridMultilevel"/>
    <w:tmpl w:val="B7BAEE04"/>
    <w:lvl w:ilvl="0" w:tplc="D62E6250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E881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1B44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0130E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843C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C8EF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6037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87A2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2A53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D1"/>
    <w:rsid w:val="00011517"/>
    <w:rsid w:val="000304BF"/>
    <w:rsid w:val="0005258E"/>
    <w:rsid w:val="00066139"/>
    <w:rsid w:val="0009666B"/>
    <w:rsid w:val="00144F0D"/>
    <w:rsid w:val="0016078E"/>
    <w:rsid w:val="001906B1"/>
    <w:rsid w:val="001B268C"/>
    <w:rsid w:val="001C42F8"/>
    <w:rsid w:val="001C7F2E"/>
    <w:rsid w:val="0027788B"/>
    <w:rsid w:val="002A1EE6"/>
    <w:rsid w:val="002D2394"/>
    <w:rsid w:val="003302CC"/>
    <w:rsid w:val="00343935"/>
    <w:rsid w:val="003C1AC9"/>
    <w:rsid w:val="0040595B"/>
    <w:rsid w:val="004130F3"/>
    <w:rsid w:val="004B5584"/>
    <w:rsid w:val="004C1AE6"/>
    <w:rsid w:val="004F3ADA"/>
    <w:rsid w:val="00513F8D"/>
    <w:rsid w:val="005C5EB9"/>
    <w:rsid w:val="005D4360"/>
    <w:rsid w:val="0068440A"/>
    <w:rsid w:val="006D7DF5"/>
    <w:rsid w:val="007B652D"/>
    <w:rsid w:val="007C1F0B"/>
    <w:rsid w:val="007E0F9B"/>
    <w:rsid w:val="00887F35"/>
    <w:rsid w:val="008B6B13"/>
    <w:rsid w:val="00937272"/>
    <w:rsid w:val="009547D0"/>
    <w:rsid w:val="00957237"/>
    <w:rsid w:val="00977307"/>
    <w:rsid w:val="00A908EC"/>
    <w:rsid w:val="00A93144"/>
    <w:rsid w:val="00B424F1"/>
    <w:rsid w:val="00B70E41"/>
    <w:rsid w:val="00BC4A60"/>
    <w:rsid w:val="00BF7968"/>
    <w:rsid w:val="00C17A89"/>
    <w:rsid w:val="00C32CD1"/>
    <w:rsid w:val="00C462DC"/>
    <w:rsid w:val="00C67E85"/>
    <w:rsid w:val="00CA58AC"/>
    <w:rsid w:val="00CB7506"/>
    <w:rsid w:val="00CD1192"/>
    <w:rsid w:val="00CE47BE"/>
    <w:rsid w:val="00D37086"/>
    <w:rsid w:val="00D54777"/>
    <w:rsid w:val="00D87B86"/>
    <w:rsid w:val="00E13A04"/>
    <w:rsid w:val="00EA3A61"/>
    <w:rsid w:val="00ED4DE5"/>
    <w:rsid w:val="00F06D27"/>
    <w:rsid w:val="00F32BA7"/>
    <w:rsid w:val="00F960E2"/>
    <w:rsid w:val="00FB125C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B025"/>
  <w15:chartTrackingRefBased/>
  <w15:docId w15:val="{3384175F-6D7D-4836-B772-A9F0750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2023-05-10T09:02:00Z</cp:lastPrinted>
  <dcterms:created xsi:type="dcterms:W3CDTF">2020-05-15T07:31:00Z</dcterms:created>
  <dcterms:modified xsi:type="dcterms:W3CDTF">2024-03-11T08:28:00Z</dcterms:modified>
</cp:coreProperties>
</file>